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56" w:rsidRPr="00BB32FF" w:rsidRDefault="00774056" w:rsidP="00774056">
      <w:pPr>
        <w:pStyle w:val="1"/>
        <w:jc w:val="center"/>
        <w:rPr>
          <w:rStyle w:val="FontStyle20"/>
          <w:b w:val="0"/>
          <w:color w:val="auto"/>
          <w:sz w:val="20"/>
          <w:szCs w:val="20"/>
        </w:rPr>
      </w:pPr>
      <w:r w:rsidRPr="00BB32FF">
        <w:rPr>
          <w:rStyle w:val="FontStyle20"/>
          <w:color w:val="auto"/>
          <w:sz w:val="20"/>
          <w:szCs w:val="20"/>
        </w:rPr>
        <w:t>Оглавление</w:t>
      </w:r>
    </w:p>
    <w:p w:rsidR="00774056" w:rsidRDefault="00774056" w:rsidP="00774056">
      <w:pPr>
        <w:pStyle w:val="a3"/>
        <w:jc w:val="center"/>
        <w:rPr>
          <w:rStyle w:val="FontStyle20"/>
          <w:b/>
          <w:sz w:val="24"/>
          <w:szCs w:val="24"/>
        </w:rPr>
      </w:pPr>
    </w:p>
    <w:tbl>
      <w:tblPr>
        <w:tblStyle w:val="a4"/>
        <w:tblW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567"/>
      </w:tblGrid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1.</w:t>
            </w:r>
          </w:p>
        </w:tc>
        <w:tc>
          <w:tcPr>
            <w:tcW w:w="5244" w:type="dxa"/>
          </w:tcPr>
          <w:p w:rsidR="003E08E4" w:rsidRPr="003E08E4" w:rsidRDefault="00FD48F8" w:rsidP="00EE6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1.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Предмет и задачи дисциплины. Правовое и но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мативно-методическое регулирование ведения инвентар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зации объектов недвижимости</w:t>
            </w:r>
          </w:p>
        </w:tc>
        <w:tc>
          <w:tcPr>
            <w:tcW w:w="567" w:type="dxa"/>
          </w:tcPr>
          <w:p w:rsidR="003E08E4" w:rsidRDefault="003E08E4" w:rsidP="005D7DAF">
            <w:pPr>
              <w:pStyle w:val="a3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    </w:t>
            </w:r>
          </w:p>
          <w:p w:rsidR="003E08E4" w:rsidRDefault="003E08E4" w:rsidP="005D7DAF">
            <w:pPr>
              <w:pStyle w:val="a3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3E08E4" w:rsidP="003E08E4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4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bookmarkStart w:id="0" w:name="_GoBack"/>
            <w:bookmarkEnd w:id="0"/>
            <w:r w:rsidRPr="00BB32FF">
              <w:rPr>
                <w:rStyle w:val="FontStyle20"/>
                <w:sz w:val="20"/>
                <w:szCs w:val="20"/>
              </w:rPr>
              <w:t>2.</w:t>
            </w:r>
          </w:p>
        </w:tc>
        <w:tc>
          <w:tcPr>
            <w:tcW w:w="5244" w:type="dxa"/>
          </w:tcPr>
          <w:p w:rsidR="003E08E4" w:rsidRPr="003E08E4" w:rsidRDefault="00FD48F8" w:rsidP="003E0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Исторические этапы развития технической инве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таризации в России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F63EA1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18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3.</w:t>
            </w:r>
          </w:p>
        </w:tc>
        <w:tc>
          <w:tcPr>
            <w:tcW w:w="5244" w:type="dxa"/>
          </w:tcPr>
          <w:p w:rsidR="003E08E4" w:rsidRPr="003E08E4" w:rsidRDefault="00FD48F8" w:rsidP="00615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 </w:t>
            </w:r>
            <w:r w:rsidR="003E08E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бъекты технической инвентаризации</w:t>
            </w:r>
            <w:r w:rsidR="003E08E4"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сновные задачи</w:t>
            </w:r>
            <w:r w:rsidR="003E08E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инвентаризации объектов капитал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 xml:space="preserve">ного строительства 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9E23D3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2</w:t>
            </w:r>
            <w:r w:rsidR="003E08E4">
              <w:rPr>
                <w:rStyle w:val="FontStyle20"/>
                <w:sz w:val="20"/>
                <w:szCs w:val="20"/>
              </w:rPr>
              <w:t>9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4.</w:t>
            </w:r>
          </w:p>
        </w:tc>
        <w:tc>
          <w:tcPr>
            <w:tcW w:w="5244" w:type="dxa"/>
          </w:tcPr>
          <w:p w:rsidR="003E08E4" w:rsidRPr="003E08E4" w:rsidRDefault="00FD48F8" w:rsidP="00FD4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4.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работ по первичной технической инвентаризации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336B9C" w:rsidP="00F36CFA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54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5.</w:t>
            </w:r>
          </w:p>
        </w:tc>
        <w:tc>
          <w:tcPr>
            <w:tcW w:w="5244" w:type="dxa"/>
          </w:tcPr>
          <w:p w:rsidR="003E08E4" w:rsidRPr="003E08E4" w:rsidRDefault="00FD48F8" w:rsidP="00EE6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5.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в связи с изменен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ем характеристик объекта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F90F48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95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6.</w:t>
            </w:r>
          </w:p>
        </w:tc>
        <w:tc>
          <w:tcPr>
            <w:tcW w:w="5244" w:type="dxa"/>
          </w:tcPr>
          <w:p w:rsidR="003E08E4" w:rsidRPr="003E08E4" w:rsidRDefault="00FD48F8" w:rsidP="00EE6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6.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Состав и содержание документов инвентаризации. Структура инвентарного дела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3E08E4" w:rsidRPr="00BB32FF" w:rsidRDefault="00F8175A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118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7.</w:t>
            </w:r>
          </w:p>
        </w:tc>
        <w:tc>
          <w:tcPr>
            <w:tcW w:w="5244" w:type="dxa"/>
          </w:tcPr>
          <w:p w:rsidR="003E08E4" w:rsidRPr="003E08E4" w:rsidRDefault="00FD48F8" w:rsidP="00EE6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7. 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Технический  и кадастровый учет объектов н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E08E4" w:rsidRPr="003E08E4">
              <w:rPr>
                <w:rFonts w:ascii="Times New Roman" w:hAnsi="Times New Roman" w:cs="Times New Roman"/>
                <w:sz w:val="20"/>
                <w:szCs w:val="20"/>
              </w:rPr>
              <w:t>движимости</w:t>
            </w: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E16088" w:rsidRDefault="00E16088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129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8.</w:t>
            </w:r>
          </w:p>
        </w:tc>
        <w:tc>
          <w:tcPr>
            <w:tcW w:w="5244" w:type="dxa"/>
          </w:tcPr>
          <w:p w:rsidR="003E08E4" w:rsidRPr="003E08E4" w:rsidRDefault="00FD48F8" w:rsidP="006150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8. </w:t>
            </w:r>
            <w:r w:rsidR="00AC02A3" w:rsidRPr="00AC02A3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систем госуда</w:t>
            </w:r>
            <w:r w:rsidR="00AC02A3" w:rsidRPr="00AC02A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C02A3" w:rsidRPr="00AC02A3">
              <w:rPr>
                <w:rFonts w:ascii="Times New Roman" w:hAnsi="Times New Roman" w:cs="Times New Roman"/>
                <w:sz w:val="20"/>
                <w:szCs w:val="20"/>
              </w:rPr>
              <w:t>ственного кадастра недвижимости и государственной р</w:t>
            </w:r>
            <w:r w:rsidR="00AC02A3" w:rsidRPr="00AC02A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C02A3" w:rsidRPr="00AC02A3">
              <w:rPr>
                <w:rFonts w:ascii="Times New Roman" w:hAnsi="Times New Roman" w:cs="Times New Roman"/>
                <w:sz w:val="20"/>
                <w:szCs w:val="20"/>
              </w:rPr>
              <w:t>гистрации прав на недвижимое имущество и сделок с ним</w:t>
            </w:r>
          </w:p>
        </w:tc>
        <w:tc>
          <w:tcPr>
            <w:tcW w:w="567" w:type="dxa"/>
          </w:tcPr>
          <w:p w:rsidR="003E08E4" w:rsidRDefault="00AC02A3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159</w:t>
            </w:r>
          </w:p>
          <w:p w:rsidR="00E04AC2" w:rsidRDefault="00E04AC2" w:rsidP="00E04AC2">
            <w:pPr>
              <w:pStyle w:val="a3"/>
              <w:rPr>
                <w:rStyle w:val="FontStyle20"/>
                <w:sz w:val="20"/>
                <w:szCs w:val="20"/>
              </w:rPr>
            </w:pPr>
          </w:p>
          <w:p w:rsidR="00E04AC2" w:rsidRDefault="00E04AC2" w:rsidP="00E04AC2">
            <w:pPr>
              <w:pStyle w:val="a3"/>
              <w:rPr>
                <w:rStyle w:val="FontStyle20"/>
                <w:sz w:val="20"/>
                <w:szCs w:val="20"/>
              </w:rPr>
            </w:pP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244" w:type="dxa"/>
          </w:tcPr>
          <w:p w:rsidR="0044787F" w:rsidRDefault="0044787F" w:rsidP="00A4319D">
            <w:pPr>
              <w:pStyle w:val="a3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  <w:p w:rsidR="00774056" w:rsidRPr="006150DE" w:rsidRDefault="000E56EB" w:rsidP="00A4319D">
            <w:pPr>
              <w:pStyle w:val="a3"/>
              <w:rPr>
                <w:rStyle w:val="FontStyle13"/>
                <w:sz w:val="20"/>
                <w:szCs w:val="20"/>
              </w:rPr>
            </w:pPr>
            <w:r w:rsidRPr="006150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Список рекомендуемой литературы</w:t>
            </w:r>
          </w:p>
        </w:tc>
        <w:tc>
          <w:tcPr>
            <w:tcW w:w="567" w:type="dxa"/>
          </w:tcPr>
          <w:p w:rsidR="0044787F" w:rsidRDefault="0044787F" w:rsidP="006150DE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Default="000E56EB" w:rsidP="006150DE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</w:t>
            </w:r>
            <w:r w:rsidR="006150DE">
              <w:rPr>
                <w:rStyle w:val="FontStyle20"/>
                <w:sz w:val="20"/>
                <w:szCs w:val="20"/>
              </w:rPr>
              <w:t>7</w:t>
            </w:r>
            <w:r>
              <w:rPr>
                <w:rStyle w:val="FontStyle20"/>
                <w:sz w:val="20"/>
                <w:szCs w:val="20"/>
              </w:rPr>
              <w:t>8</w:t>
            </w:r>
          </w:p>
        </w:tc>
      </w:tr>
      <w:tr w:rsidR="003E08E4" w:rsidRPr="00BB32FF" w:rsidTr="00A4319D">
        <w:tc>
          <w:tcPr>
            <w:tcW w:w="534" w:type="dxa"/>
          </w:tcPr>
          <w:p w:rsidR="003E08E4" w:rsidRPr="00BB32FF" w:rsidRDefault="003E08E4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244" w:type="dxa"/>
          </w:tcPr>
          <w:p w:rsidR="003E08E4" w:rsidRPr="00061658" w:rsidRDefault="003E08E4" w:rsidP="00A4319D">
            <w:pPr>
              <w:pStyle w:val="a3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3E08E4" w:rsidRDefault="003E08E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</w:tc>
      </w:tr>
    </w:tbl>
    <w:p w:rsidR="00774056" w:rsidRPr="005901B1" w:rsidRDefault="00774056" w:rsidP="00774056">
      <w:pPr>
        <w:pStyle w:val="a3"/>
        <w:jc w:val="center"/>
        <w:rPr>
          <w:rStyle w:val="FontStyle20"/>
          <w:b/>
          <w:sz w:val="24"/>
          <w:szCs w:val="24"/>
        </w:rPr>
      </w:pPr>
    </w:p>
    <w:p w:rsidR="00774056" w:rsidRDefault="00774056" w:rsidP="00774056">
      <w:pPr>
        <w:pStyle w:val="a3"/>
        <w:jc w:val="both"/>
        <w:rPr>
          <w:rStyle w:val="FontStyle20"/>
          <w:sz w:val="24"/>
          <w:szCs w:val="24"/>
        </w:rPr>
      </w:pPr>
    </w:p>
    <w:p w:rsidR="00774056" w:rsidRPr="005C3C1B" w:rsidRDefault="00774056" w:rsidP="00774056">
      <w:pPr>
        <w:pStyle w:val="a3"/>
        <w:ind w:firstLine="709"/>
        <w:rPr>
          <w:rStyle w:val="FontStyle20"/>
          <w:sz w:val="24"/>
          <w:szCs w:val="24"/>
        </w:rPr>
      </w:pPr>
    </w:p>
    <w:p w:rsidR="00D2040F" w:rsidRDefault="00D2040F"/>
    <w:sectPr w:rsidR="00D2040F" w:rsidSect="00774056">
      <w:pgSz w:w="8391" w:h="11907" w:code="1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4056"/>
    <w:rsid w:val="00001B5C"/>
    <w:rsid w:val="0001629B"/>
    <w:rsid w:val="000E56EB"/>
    <w:rsid w:val="00336B9C"/>
    <w:rsid w:val="003E08E4"/>
    <w:rsid w:val="0044787F"/>
    <w:rsid w:val="005D7DAF"/>
    <w:rsid w:val="006150DE"/>
    <w:rsid w:val="00707874"/>
    <w:rsid w:val="00774056"/>
    <w:rsid w:val="0078103E"/>
    <w:rsid w:val="008D5FD3"/>
    <w:rsid w:val="009E23D3"/>
    <w:rsid w:val="009F03D1"/>
    <w:rsid w:val="00AC02A3"/>
    <w:rsid w:val="00C41FB0"/>
    <w:rsid w:val="00D2040F"/>
    <w:rsid w:val="00E04AC2"/>
    <w:rsid w:val="00E16088"/>
    <w:rsid w:val="00F36CFA"/>
    <w:rsid w:val="00F63EA1"/>
    <w:rsid w:val="00F8175A"/>
    <w:rsid w:val="00F90F48"/>
    <w:rsid w:val="00FD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56"/>
  </w:style>
  <w:style w:type="paragraph" w:styleId="1">
    <w:name w:val="heading 1"/>
    <w:basedOn w:val="a"/>
    <w:next w:val="a"/>
    <w:link w:val="10"/>
    <w:uiPriority w:val="9"/>
    <w:qFormat/>
    <w:rsid w:val="007740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0">
    <w:name w:val="Font Style20"/>
    <w:basedOn w:val="a0"/>
    <w:uiPriority w:val="99"/>
    <w:rsid w:val="00774056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74056"/>
    <w:pPr>
      <w:widowControl w:val="0"/>
      <w:autoSpaceDE w:val="0"/>
      <w:autoSpaceDN w:val="0"/>
      <w:adjustRightInd w:val="0"/>
      <w:spacing w:after="0" w:line="226" w:lineRule="exact"/>
      <w:ind w:hanging="8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4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7405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774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74056"/>
    <w:pPr>
      <w:spacing w:after="0" w:line="240" w:lineRule="auto"/>
    </w:pPr>
  </w:style>
  <w:style w:type="character" w:customStyle="1" w:styleId="FontStyle13">
    <w:name w:val="Font Style13"/>
    <w:basedOn w:val="a0"/>
    <w:uiPriority w:val="99"/>
    <w:rsid w:val="0077405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774056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4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Admin</cp:lastModifiedBy>
  <cp:revision>13</cp:revision>
  <dcterms:created xsi:type="dcterms:W3CDTF">2013-09-13T15:49:00Z</dcterms:created>
  <dcterms:modified xsi:type="dcterms:W3CDTF">2013-09-15T14:29:00Z</dcterms:modified>
</cp:coreProperties>
</file>